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41C4D">
      <w:pPr>
        <w:keepNext w:val="0"/>
        <w:keepLines w:val="0"/>
        <w:pageBreakBefore w:val="0"/>
        <w:widowControl/>
        <w:kinsoku w:val="0"/>
        <w:wordWrap/>
        <w:overflowPunct/>
        <w:topLinePunct w:val="0"/>
        <w:autoSpaceDE w:val="0"/>
        <w:autoSpaceDN w:val="0"/>
        <w:bidi w:val="0"/>
        <w:adjustRightInd w:val="0"/>
        <w:snapToGrid w:val="0"/>
        <w:spacing w:line="600" w:lineRule="atLeast"/>
        <w:ind w:left="0" w:right="0" w:firstLine="880" w:firstLineChars="200"/>
        <w:jc w:val="both"/>
        <w:textAlignment w:val="baseline"/>
        <w:outlineLvl w:val="9"/>
        <w:rPr>
          <w:rFonts w:hint="eastAsia" w:ascii="方正小标宋简体" w:hAnsi="方正小标宋简体" w:eastAsia="方正小标宋简体" w:cs="方正小标宋简体"/>
          <w:snapToGrid/>
          <w:color w:val="000000"/>
          <w:kern w:val="2"/>
          <w:sz w:val="44"/>
          <w:szCs w:val="44"/>
          <w:lang w:val="en-US" w:eastAsia="zh-CN" w:bidi="ar-SA"/>
        </w:rPr>
      </w:pPr>
      <w:r>
        <w:rPr>
          <w:rFonts w:hint="eastAsia" w:ascii="方正小标宋简体" w:hAnsi="方正小标宋简体" w:eastAsia="方正小标宋简体" w:cs="方正小标宋简体"/>
          <w:snapToGrid/>
          <w:color w:val="000000"/>
          <w:kern w:val="2"/>
          <w:sz w:val="44"/>
          <w:szCs w:val="44"/>
          <w:lang w:val="en-US" w:eastAsia="zh-CN" w:bidi="ar-SA"/>
        </w:rPr>
        <w:t>2022年预算绩效管理工作开展情况说明</w:t>
      </w:r>
    </w:p>
    <w:p w14:paraId="6691E3A7">
      <w:pPr>
        <w:pStyle w:val="2"/>
        <w:keepNext w:val="0"/>
        <w:keepLines w:val="0"/>
        <w:pageBreakBefore w:val="0"/>
        <w:widowControl/>
        <w:kinsoku w:val="0"/>
        <w:wordWrap/>
        <w:overflowPunct/>
        <w:topLinePunct w:val="0"/>
        <w:autoSpaceDE w:val="0"/>
        <w:autoSpaceDN w:val="0"/>
        <w:bidi w:val="0"/>
        <w:adjustRightInd w:val="0"/>
        <w:snapToGrid w:val="0"/>
        <w:spacing w:line="600" w:lineRule="atLeast"/>
        <w:ind w:left="0" w:right="0" w:firstLine="616" w:firstLineChars="200"/>
        <w:jc w:val="both"/>
        <w:textAlignment w:val="baseline"/>
        <w:outlineLvl w:val="9"/>
        <w:rPr>
          <w:rFonts w:ascii="Times New Roman" w:hAnsi="Times New Roman" w:eastAsia="Times New Roman" w:cs="Times New Roman"/>
          <w:spacing w:val="4"/>
        </w:rPr>
      </w:pPr>
    </w:p>
    <w:p w14:paraId="5D11C081">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2022年，蓝山县不断健全全方位、全过程、全覆盖的预算绩效管理体系，通过强化主体责任、完善管理措施、实行部门联动，推动预算绩效管理提质增效，财政政策效能和财政资金使用效益进一步提高。</w:t>
      </w:r>
    </w:p>
    <w:p w14:paraId="374505C6">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both"/>
        <w:textAlignment w:val="auto"/>
        <w:outlineLvl w:val="9"/>
        <w:rPr>
          <w:rFonts w:hint="eastAsia" w:ascii="黑体" w:hAnsi="黑体" w:eastAsia="黑体" w:cs="黑体"/>
          <w:snapToGrid/>
          <w:color w:val="000000" w:themeColor="text1"/>
          <w:kern w:val="2"/>
          <w:sz w:val="32"/>
          <w:szCs w:val="32"/>
          <w:lang w:eastAsia="zh-CN"/>
          <w14:textFill>
            <w14:solidFill>
              <w14:schemeClr w14:val="tx1"/>
            </w14:solidFill>
          </w14:textFill>
        </w:rPr>
      </w:pPr>
      <w:r>
        <w:rPr>
          <w:rFonts w:hint="eastAsia" w:ascii="黑体" w:hAnsi="黑体" w:eastAsia="黑体" w:cs="黑体"/>
          <w:snapToGrid/>
          <w:color w:val="000000" w:themeColor="text1"/>
          <w:kern w:val="2"/>
          <w:sz w:val="32"/>
          <w:szCs w:val="32"/>
          <w:lang w:eastAsia="zh-CN"/>
          <w14:textFill>
            <w14:solidFill>
              <w14:schemeClr w14:val="tx1"/>
            </w14:solidFill>
          </w14:textFill>
        </w:rPr>
        <w:t>一、着眼长效管用，全面夯实绩效基础体系</w:t>
      </w:r>
    </w:p>
    <w:p w14:paraId="5AFBD2B0">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楷体" w:hAnsi="楷体" w:eastAsia="楷体" w:cs="楷体"/>
          <w:b/>
          <w:bCs/>
          <w:snapToGrid/>
          <w:color w:val="000000"/>
          <w:kern w:val="2"/>
          <w:sz w:val="32"/>
          <w:szCs w:val="32"/>
          <w:lang w:val="en-US" w:eastAsia="zh-CN" w:bidi="ar-SA"/>
        </w:rPr>
      </w:pPr>
      <w:r>
        <w:rPr>
          <w:rFonts w:hint="eastAsia" w:ascii="楷体" w:hAnsi="楷体" w:eastAsia="楷体" w:cs="楷体"/>
          <w:b/>
          <w:bCs/>
          <w:snapToGrid/>
          <w:color w:val="000000"/>
          <w:kern w:val="2"/>
          <w:sz w:val="32"/>
          <w:szCs w:val="32"/>
          <w:lang w:val="en-US" w:eastAsia="zh-CN" w:bidi="ar-SA"/>
        </w:rPr>
        <w:t>（一）以制度建设促绩效管理全过程化</w:t>
      </w:r>
    </w:p>
    <w:p w14:paraId="00D45635">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结合我县实际出台《蓝山县预算绩效管理实施办法》等文件健全全过程预算绩效管理制度。组织对县本级预算单位的预算执行情况和绩效目标实现程度开展发现问题及时纠偏。</w:t>
      </w:r>
    </w:p>
    <w:p w14:paraId="12E10572">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楷体" w:hAnsi="楷体" w:eastAsia="楷体" w:cs="楷体"/>
          <w:b/>
          <w:bCs/>
          <w:snapToGrid/>
          <w:color w:val="000000"/>
          <w:kern w:val="2"/>
          <w:sz w:val="32"/>
          <w:szCs w:val="32"/>
          <w:lang w:val="en-US" w:eastAsia="zh-CN" w:bidi="ar-SA"/>
        </w:rPr>
      </w:pPr>
      <w:r>
        <w:rPr>
          <w:rFonts w:hint="eastAsia" w:ascii="楷体" w:hAnsi="楷体" w:eastAsia="楷体" w:cs="楷体"/>
          <w:b/>
          <w:bCs/>
          <w:snapToGrid/>
          <w:color w:val="000000"/>
          <w:kern w:val="2"/>
          <w:sz w:val="32"/>
          <w:szCs w:val="32"/>
          <w:lang w:val="en-US" w:eastAsia="zh-CN" w:bidi="ar-SA"/>
        </w:rPr>
        <w:t>（二）以指标完善促绩效管理精细化</w:t>
      </w:r>
    </w:p>
    <w:p w14:paraId="44E7675E">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推进分行业、分领域、分层次的预算绩效指标体系建设，逐步建立适用高效、便于操作的绩效核心指标库，实现“共性与个性、定量与定性、产出与效果”的有机结合。积极探索构建产业政策、养老保险基金等特色指标体系</w:t>
      </w:r>
      <w:bookmarkStart w:id="0" w:name="_GoBack"/>
      <w:bookmarkEnd w:id="0"/>
      <w:r>
        <w:rPr>
          <w:rFonts w:hint="eastAsia" w:ascii="Times New Roman" w:hAnsi="Times New Roman" w:eastAsia="仿宋_GB2312" w:cs="Times New Roman"/>
          <w:b w:val="0"/>
          <w:bCs w:val="0"/>
          <w:snapToGrid/>
          <w:color w:val="000000"/>
          <w:kern w:val="2"/>
          <w:sz w:val="32"/>
          <w:szCs w:val="32"/>
          <w:highlight w:val="none"/>
          <w:lang w:val="en-US" w:eastAsia="zh-CN" w:bidi="ar-SA"/>
        </w:rPr>
        <w:t>。</w:t>
      </w:r>
    </w:p>
    <w:p w14:paraId="5FDAC89B">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楷体" w:hAnsi="楷体" w:eastAsia="楷体" w:cs="楷体"/>
          <w:b/>
          <w:bCs/>
          <w:snapToGrid/>
          <w:color w:val="000000"/>
          <w:kern w:val="2"/>
          <w:sz w:val="32"/>
          <w:szCs w:val="32"/>
          <w:lang w:val="en-US" w:eastAsia="zh-CN" w:bidi="ar-SA"/>
        </w:rPr>
      </w:pPr>
      <w:r>
        <w:rPr>
          <w:rFonts w:hint="eastAsia" w:ascii="楷体" w:hAnsi="楷体" w:eastAsia="楷体" w:cs="楷体"/>
          <w:b/>
          <w:bCs/>
          <w:snapToGrid/>
          <w:color w:val="000000"/>
          <w:kern w:val="2"/>
          <w:sz w:val="32"/>
          <w:szCs w:val="32"/>
          <w:lang w:val="en-US" w:eastAsia="zh-CN" w:bidi="ar-SA"/>
        </w:rPr>
        <w:t>（三）</w:t>
      </w:r>
      <w:r>
        <w:rPr>
          <w:rFonts w:hint="eastAsia" w:ascii="楷体" w:hAnsi="楷体" w:eastAsia="楷体" w:cs="楷体"/>
          <w:b/>
          <w:bCs/>
          <w:snapToGrid/>
          <w:color w:val="000000"/>
          <w:kern w:val="2"/>
          <w:sz w:val="32"/>
          <w:szCs w:val="32"/>
          <w:lang w:val="en-US" w:eastAsia="en-US" w:bidi="ar-SA"/>
        </w:rPr>
        <w:t>以信息手段促绩效管理高效化</w:t>
      </w:r>
    </w:p>
    <w:p w14:paraId="14274D44">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充分运用蓝山县财政预算绩效管理信息系统，推动对预算绩效管理工作的信息化建设。在目标申报、绩效自评、部门监控等环节，完善角色设置，优化操作流程，推动预算单位主动参与预算绩效管理，实现数据对接、信息共享和智能化监控，提高预算绩效管理工作的质量和效率。</w:t>
      </w:r>
    </w:p>
    <w:p w14:paraId="344E7EFE">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both"/>
        <w:textAlignment w:val="auto"/>
        <w:outlineLvl w:val="9"/>
        <w:rPr>
          <w:rFonts w:hint="eastAsia" w:ascii="黑体" w:hAnsi="黑体" w:eastAsia="黑体" w:cs="黑体"/>
          <w:snapToGrid/>
          <w:color w:val="000000" w:themeColor="text1"/>
          <w:kern w:val="2"/>
          <w:sz w:val="32"/>
          <w:szCs w:val="32"/>
          <w:lang w:eastAsia="zh-CN"/>
          <w14:textFill>
            <w14:solidFill>
              <w14:schemeClr w14:val="tx1"/>
            </w14:solidFill>
          </w14:textFill>
        </w:rPr>
      </w:pPr>
      <w:r>
        <w:rPr>
          <w:rFonts w:hint="eastAsia" w:ascii="黑体" w:hAnsi="黑体" w:eastAsia="黑体" w:cs="黑体"/>
          <w:snapToGrid/>
          <w:color w:val="000000" w:themeColor="text1"/>
          <w:kern w:val="2"/>
          <w:sz w:val="32"/>
          <w:szCs w:val="32"/>
          <w:lang w:eastAsia="zh-CN"/>
          <w14:textFill>
            <w14:solidFill>
              <w14:schemeClr w14:val="tx1"/>
            </w14:solidFill>
          </w14:textFill>
        </w:rPr>
        <w:t>二、聚焦创新引领，纵深推动财政重点评价</w:t>
      </w:r>
    </w:p>
    <w:p w14:paraId="5F555D23">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楷体" w:hAnsi="楷体" w:eastAsia="楷体" w:cs="楷体"/>
          <w:b/>
          <w:bCs/>
          <w:snapToGrid/>
          <w:color w:val="000000"/>
          <w:kern w:val="2"/>
          <w:sz w:val="32"/>
          <w:szCs w:val="32"/>
          <w:lang w:val="en-US" w:eastAsia="zh-CN" w:bidi="ar-SA"/>
        </w:rPr>
      </w:pPr>
      <w:r>
        <w:rPr>
          <w:rFonts w:hint="eastAsia" w:ascii="楷体" w:hAnsi="楷体" w:eastAsia="楷体" w:cs="楷体"/>
          <w:b/>
          <w:bCs/>
          <w:snapToGrid/>
          <w:color w:val="000000"/>
          <w:kern w:val="2"/>
          <w:sz w:val="32"/>
          <w:szCs w:val="32"/>
          <w:lang w:val="en-US" w:eastAsia="zh-CN" w:bidi="ar-SA"/>
        </w:rPr>
        <w:t>（一）不断拓宽绩效评价范围，创新绩效评价方式</w:t>
      </w:r>
    </w:p>
    <w:p w14:paraId="33562BD7">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围绕县本级重大项目和政策实施财政重点绩效评价，评价类型涵盖部门整体支出、项目支出等。探索和创新评价思路，通过厘清对政策和项目实效产生影响的关键环节，不断调整完善考核方法和指标，采用定量和定性的方法进行评价。</w:t>
      </w:r>
    </w:p>
    <w:p w14:paraId="5303B95D">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楷体" w:hAnsi="楷体" w:eastAsia="楷体" w:cs="楷体"/>
          <w:b/>
          <w:bCs/>
          <w:snapToGrid/>
          <w:color w:val="000000"/>
          <w:kern w:val="2"/>
          <w:sz w:val="32"/>
          <w:szCs w:val="32"/>
          <w:lang w:val="en-US" w:eastAsia="zh-CN" w:bidi="ar-SA"/>
        </w:rPr>
      </w:pPr>
      <w:r>
        <w:rPr>
          <w:rFonts w:hint="eastAsia" w:ascii="楷体" w:hAnsi="楷体" w:eastAsia="楷体" w:cs="楷体"/>
          <w:b/>
          <w:bCs/>
          <w:snapToGrid/>
          <w:color w:val="000000"/>
          <w:kern w:val="2"/>
          <w:sz w:val="32"/>
          <w:szCs w:val="32"/>
          <w:lang w:val="en-US" w:eastAsia="zh-CN" w:bidi="ar-SA"/>
        </w:rPr>
        <w:t>（二）持续加强对第三方监管，严把绩效评价质量关</w:t>
      </w:r>
    </w:p>
    <w:p w14:paraId="193F161B">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组建绩效评价小组，组织第三方评价机构开展重点绩效评价业务培训，提高执业人员对财政预算管理、行政事业单位相关政策和制度等知识的了解，规范评价流程，提高实操水平。</w:t>
      </w:r>
    </w:p>
    <w:p w14:paraId="71915BED">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both"/>
        <w:textAlignment w:val="auto"/>
        <w:outlineLvl w:val="9"/>
        <w:rPr>
          <w:rFonts w:hint="eastAsia" w:ascii="黑体" w:hAnsi="黑体" w:eastAsia="黑体" w:cs="黑体"/>
          <w:snapToGrid/>
          <w:color w:val="000000" w:themeColor="text1"/>
          <w:kern w:val="2"/>
          <w:sz w:val="32"/>
          <w:szCs w:val="32"/>
          <w:lang w:eastAsia="zh-CN"/>
          <w14:textFill>
            <w14:solidFill>
              <w14:schemeClr w14:val="tx1"/>
            </w14:solidFill>
          </w14:textFill>
        </w:rPr>
      </w:pPr>
      <w:r>
        <w:rPr>
          <w:rFonts w:hint="eastAsia" w:ascii="黑体" w:hAnsi="黑体" w:eastAsia="黑体" w:cs="黑体"/>
          <w:snapToGrid/>
          <w:color w:val="000000" w:themeColor="text1"/>
          <w:kern w:val="2"/>
          <w:sz w:val="32"/>
          <w:szCs w:val="32"/>
          <w:lang w:eastAsia="zh-CN"/>
          <w14:textFill>
            <w14:solidFill>
              <w14:schemeClr w14:val="tx1"/>
            </w14:solidFill>
          </w14:textFill>
        </w:rPr>
        <w:t>三、坚持问题导向，有效发挥绩效指挥棒作用</w:t>
      </w:r>
    </w:p>
    <w:p w14:paraId="769CADB7">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楷体" w:hAnsi="楷体" w:eastAsia="楷体" w:cs="楷体"/>
          <w:b/>
          <w:bCs/>
          <w:snapToGrid/>
          <w:color w:val="000000"/>
          <w:kern w:val="2"/>
          <w:sz w:val="32"/>
          <w:szCs w:val="32"/>
          <w:lang w:val="en-US" w:eastAsia="zh-CN" w:bidi="ar-SA"/>
        </w:rPr>
      </w:pPr>
      <w:r>
        <w:rPr>
          <w:rFonts w:hint="eastAsia" w:ascii="楷体" w:hAnsi="楷体" w:eastAsia="楷体" w:cs="楷体"/>
          <w:b/>
          <w:bCs/>
          <w:snapToGrid/>
          <w:color w:val="000000"/>
          <w:kern w:val="2"/>
          <w:sz w:val="32"/>
          <w:szCs w:val="32"/>
          <w:lang w:val="en-US" w:eastAsia="zh-CN" w:bidi="ar-SA"/>
        </w:rPr>
        <w:t>（一）实行绩效联控，形成预算绩效管理合力</w:t>
      </w:r>
    </w:p>
    <w:p w14:paraId="1303C895">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健全与人大、纪检监察、组织、审计等部门的联控机制，做到信息共享、工作共推、成果共用、整改共抓，提高工作效率，进一步规范财政管理、维护财经纪律、提高财政资金绩效。</w:t>
      </w:r>
    </w:p>
    <w:p w14:paraId="1E32D6FB">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楷体" w:hAnsi="楷体" w:eastAsia="楷体" w:cs="楷体"/>
          <w:b/>
          <w:bCs/>
          <w:snapToGrid/>
          <w:color w:val="000000"/>
          <w:kern w:val="2"/>
          <w:sz w:val="32"/>
          <w:szCs w:val="32"/>
          <w:lang w:val="en-US" w:eastAsia="zh-CN" w:bidi="ar-SA"/>
        </w:rPr>
      </w:pPr>
      <w:r>
        <w:rPr>
          <w:rFonts w:hint="eastAsia" w:ascii="楷体" w:hAnsi="楷体" w:eastAsia="楷体" w:cs="楷体"/>
          <w:b/>
          <w:bCs/>
          <w:snapToGrid/>
          <w:color w:val="000000"/>
          <w:kern w:val="2"/>
          <w:sz w:val="32"/>
          <w:szCs w:val="32"/>
          <w:lang w:val="en-US" w:eastAsia="zh-CN" w:bidi="ar-SA"/>
        </w:rPr>
        <w:t>（二）强化绩效约束，深度应用绩效评价结果</w:t>
      </w:r>
    </w:p>
    <w:p w14:paraId="55254AF6">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对整体和项目绩效评价结果为“中”及以下的，在编制2023年预算时进行统一核减；对管理不善或政策环境已发生明显变化的项目进行调整或取消；对历年预算执行较慢、结余较多的资金一律收回，统筹用于稳增长、防风险等重点领域。督促单位对评价中发现的问题及时整改，同时将重点绩效评价结果纳入对政府部门的考核范围，实现财政资金绩效管理和政府行政绩效考核的深度融合。</w:t>
      </w:r>
    </w:p>
    <w:sectPr>
      <w:footerReference r:id="rId5" w:type="default"/>
      <w:pgSz w:w="11906" w:h="16839"/>
      <w:pgMar w:top="1431" w:right="1451" w:bottom="1674" w:left="1544" w:header="0" w:footer="140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A3986">
    <w:pPr>
      <w:spacing w:line="174" w:lineRule="auto"/>
      <w:ind w:left="7570"/>
      <w:rPr>
        <w:rFonts w:ascii="宋体" w:hAnsi="宋体" w:eastAsia="宋体" w:cs="宋体"/>
        <w:sz w:val="28"/>
        <w:szCs w:val="28"/>
      </w:rPr>
    </w:pPr>
    <w:r>
      <w:rPr>
        <w:rFonts w:ascii="宋体" w:hAnsi="宋体" w:eastAsia="宋体" w:cs="宋体"/>
        <w:spacing w:val="-7"/>
        <w:sz w:val="28"/>
        <w:szCs w:val="28"/>
      </w:rPr>
      <w:t>—</w:t>
    </w:r>
    <w:r>
      <w:rPr>
        <w:rFonts w:ascii="Times New Roman" w:hAnsi="Times New Roman" w:eastAsia="Times New Roman" w:cs="Times New Roman"/>
        <w:spacing w:val="-7"/>
        <w:sz w:val="28"/>
        <w:szCs w:val="28"/>
      </w:rPr>
      <w:t>3</w:t>
    </w:r>
    <w:r>
      <w:rPr>
        <w:rFonts w:ascii="宋体" w:hAnsi="宋体" w:eastAsia="宋体" w:cs="宋体"/>
        <w:spacing w:val="-7"/>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TdkMTZlZDMyOTM0MjMwZjdlNzI5MjdkNmEyYzUyZjcifQ=="/>
  </w:docVars>
  <w:rsids>
    <w:rsidRoot w:val="00000000"/>
    <w:rsid w:val="1516704C"/>
    <w:rsid w:val="1DD22980"/>
    <w:rsid w:val="30D96DE5"/>
    <w:rsid w:val="710677BC"/>
    <w:rsid w:val="78EA0F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1068</Words>
  <Characters>1077</Characters>
  <TotalTime>9</TotalTime>
  <ScaleCrop>false</ScaleCrop>
  <LinksUpToDate>false</LinksUpToDate>
  <CharactersWithSpaces>1077</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2023-10-23T10:20:00Z</dcterms:created>
  <dc:creator>czj</dc:creator>
  <cp:lastModifiedBy>ZWN</cp:lastModifiedBy>
  <dcterms:modified xsi:type="dcterms:W3CDTF">2024-10-30T11:20:17Z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2024-10-30T09:17:59Z</vt:filetime>
  </property>
  <property fmtid="{D5CDD505-2E9C-101B-9397-08002B2CF9AE}" pid="4" name="KSOProductBuildVer">
    <vt:lpwstr>2052-12.1.0.18608</vt:lpwstr>
  </property>
  <property fmtid="{D5CDD505-2E9C-101B-9397-08002B2CF9AE}" pid="5" name="ICV">
    <vt:lpwstr>37B0C0C7BFF648568A54B77A401B0336_13</vt:lpwstr>
  </property>
</Properties>
</file>